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5AC65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</w:pPr>
      <w:r>
        <w:rPr>
          <w:rFonts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南京市浦口市民中心位于南京市浦口区城运路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 </w:t>
      </w:r>
      <w:r>
        <w:rPr>
          <w:rFonts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13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号。南边与浦口第三中学仅一墙之隔。噪声源依次为：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(1)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车库入口旁空调机组；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(2)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排油烟风机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2 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台及管道；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(3)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风机东侧空调机组；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(4)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主楼东侧空调机组；（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5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）三楼阳台共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6 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组空调机组。在油烟风机不开启，空调机组部分开启的情况下，市民中心与第三中小学临近侧厂界沿线昼间噪声在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58.6-61.3dB(A)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之间。按照国家《声环境质量标准》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GB3096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2008 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规定，参考浦口各地块声功能区规划，市民中心紧邻学校，周边区域属于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I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类声环境功能区。对应的环境噪声限值为昼间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55dB(A)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，夜间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45dB(A)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。治理前风机未开启、空调部分开启情况下，厂界噪声昼间超标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3.6-6.3dB(A)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。风机开启的情况下，厂界噪声将增大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4-5dB(A)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，噪声超标最大将超过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10dB(A)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，若考虑夏季空调开启率增加的情况下，噪声超标值将达到 </w:t>
      </w:r>
      <w:r>
        <w:rPr>
          <w:rFonts w:hint="default" w:ascii="Calibri" w:hAnsi="Calibri" w:eastAsia="宋体" w:cs="Calibri"/>
          <w:i w:val="0"/>
          <w:iCs w:val="0"/>
          <w:caps w:val="0"/>
          <w:color w:val="3F3F3F"/>
          <w:spacing w:val="0"/>
          <w:sz w:val="24"/>
          <w:szCs w:val="24"/>
        </w:rPr>
        <w:t>12dB(A)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</w:rPr>
        <w:t>以上。且该区域内噪声源主要表现为频带较窄的中低频噪声，从心里声学角度看，同等噪声级引起的烦恼度较高。影响临近住户的学习、工作和休息，因此需对该区域进行噪声综合治理。 </w:t>
      </w:r>
    </w:p>
    <w:p w14:paraId="4D8715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4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2026-03-13T03:39:36Z</dcterms:created>
  <dc:creator>52666</dc:creator>
  <cp:lastModifiedBy>张菂</cp:lastModifiedBy>
  <dcterms:modified xsi:type="dcterms:W3CDTF">2026-03-13T03:39:46Z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5210B49D708649BBAE6D3D73AF0627AF_12</vt:lpwstr>
  </property>
</Properties>
</file>