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4EE58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</w:pPr>
      <w:r>
        <w:rPr>
          <w:rFonts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南京市浦口市民中心位于南京市浦口区城运路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 </w:t>
      </w:r>
      <w:r>
        <w:rPr>
          <w:rFonts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13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号。南边与浦口第三中学仅一墙之隔。噪声源依次为：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(1)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车库入口旁空调机组；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(2)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排油烟风机 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2 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台及管道；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(3)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风机东侧空调机组；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(4)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主楼东侧空调机组；（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5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）三楼阳台共 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6 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组空调机组。在油烟风机不开启，空调机组部分开启的情况下，市民中心与第三中小学临近侧厂界沿线昼间噪声在 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58.6-61.3dB(A)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之间。按照国家《声环境质量标准》 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GB3096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—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2008 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规定，参考浦口各地块声功能区规划，市民中心紧邻学校，周边区域属于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I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类声环境功能区。对应的环境噪声限值为昼间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55dB(A)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，夜间 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45dB(A)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。治理前风机未开启、空调部分开启情况下，厂界噪声昼间超标 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3.6-6.3dB(A)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。风机开启的情况下，厂界噪声将增大 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4-5dB(A)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，噪声超标最大将超过 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10dB(A)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，若考虑夏季空调开启率增加的情况下，噪声超标值将达到 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12dB(A)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以上。且该区域内噪声源主要表现为频带较窄的中低频噪声，从心里声学角度看，同等噪声级引起的烦恼度较高。影响临近住户的学习、工作和休息，因此需对该区域进行噪声综合治理。 </w:t>
      </w:r>
    </w:p>
    <w:p w14:paraId="4EA5CB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B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2026-03-13T03:40:29Z</dcterms:created>
  <dc:creator>52666</dc:creator>
  <cp:lastModifiedBy>张菂</cp:lastModifiedBy>
  <dcterms:modified xsi:type="dcterms:W3CDTF">2026-03-13T03:40:37Z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eyJoZGlkIjoiOTlkYTU2NWM3ZGZjM2E2ZmU4MDkyMGUxZTMwZDRkNGMiLCJ1c2VySWQiOiIyNDkzNTY3OTgifQ==</vt:lpwstr>
  </property>
  <property fmtid="{D5CDD505-2E9C-101B-9397-08002B2CF9AE}" pid="4" name="ICV">
    <vt:lpwstr>8A3C75BCB7834C56AACE3DB6DC6D3DFB_12</vt:lpwstr>
  </property>
</Properties>
</file>