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C92D3">
      <w:pPr>
        <w:keepNext w:val="0"/>
        <w:keepLines w:val="0"/>
        <w:widowControl/>
        <w:suppressLineNumbers w:val="0"/>
        <w:jc w:val="left"/>
      </w:pPr>
      <w:r>
        <w:rPr>
          <w:rFonts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南京大学唐仲英楼位于南京市鼓楼区金银街</w:t>
      </w:r>
      <w:r>
        <w:rPr>
          <w:rFonts w:ascii="Calibri" w:hAnsi="Calibri" w:eastAsia="PingFang SC Regular" w:cs="Calibri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15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号。由于微结构实验室的需要，现在该楼西北角安装有三组诺水空调机组。空调设备离临近住户约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20m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，空调开启时，距空调风扇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1.0m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处噪声噪声值为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81.9dB(A)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，距空调机组侧面 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1.0m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处噪声级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85.6dB(A),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空调压缩机噪声大于风扇噪声，是最主要噪声源，厂界噪声值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61.2dB(A)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5572C0DD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按照国家《声环境质量标准》 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GB3096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—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2008 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规定，唐仲英楼所在区域属于 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1 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类声环境功能区因此需对该区域进行噪声治理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,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设备全天 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24 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小时，全年长期运行，因此治理方案针对夜间达标治理（较高要求），且充分考虑设备的通风散热。</w:t>
      </w:r>
    </w:p>
    <w:p w14:paraId="4159CE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D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2026-03-13T03:39:16Z</dcterms:created>
  <dc:creator>52666</dc:creator>
  <cp:lastModifiedBy>张菂</cp:lastModifiedBy>
  <dcterms:modified xsi:type="dcterms:W3CDTF">2026-03-13T03:39:25Z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eyJoZGlkIjoiOTlkYTU2NWM3ZGZjM2E2ZmU4MDkyMGUxZTMwZDRkNGMiLCJ1c2VySWQiOiIyNDkzNTY3OTgifQ==</vt:lpwstr>
  </property>
  <property fmtid="{D5CDD505-2E9C-101B-9397-08002B2CF9AE}" pid="4" name="ICV">
    <vt:lpwstr>ECBBC72258924BD4B778EAE87CB1D30C_12</vt:lpwstr>
  </property>
</Properties>
</file>