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957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5F5F5F"/>
          <w:spacing w:val="0"/>
          <w:sz w:val="24"/>
          <w:szCs w:val="24"/>
          <w:shd w:val="clear" w:fill="FFFFFF"/>
        </w:rPr>
      </w:pPr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5F5F5F"/>
          <w:spacing w:val="0"/>
          <w:sz w:val="24"/>
          <w:szCs w:val="24"/>
          <w:shd w:val="clear" w:fill="FFFFFF"/>
        </w:rPr>
        <w:t>邯郸中材建设有限责任公司因菲律宾太平洋项目建设工程需要，向我司采购隔声板一批。菲律宾属季风型热带雨林气候，高温多雨，湿度大，台风多。年均气温27℃，年降水量2000－3000毫米。为保证产品的质量合格，并适应当地气候条件，我司严格按照合同及技术文件要求，按时保质保量地完成了订单的产品生产，并为我司产品走向国际市场提供了宝贵的生产和销售运输等经验。</w:t>
      </w:r>
    </w:p>
    <w:p w14:paraId="42785E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5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2026-03-13T03:44:55Z</dcterms:created>
  <dc:creator>52666</dc:creator>
  <cp:lastModifiedBy>张菂</cp:lastModifiedBy>
  <dcterms:modified xsi:type="dcterms:W3CDTF">2026-03-13T03:45:04Z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948DC8449F7C408C95ED741F2346F58B_12</vt:lpwstr>
  </property>
</Properties>
</file>